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FAE5A" w14:textId="5386E152" w:rsidR="003073A2" w:rsidRPr="00B47DAF" w:rsidRDefault="00B47DAF" w:rsidP="00B47DAF">
      <w:pPr>
        <w:spacing w:after="240" w:line="480" w:lineRule="auto"/>
        <w:jc w:val="center"/>
        <w:rPr>
          <w:rFonts w:ascii="Times New Roman" w:hAnsi="Times New Roman" w:cs="Times New Roman" w:hint="eastAsia"/>
          <w:b/>
          <w:sz w:val="28"/>
          <w:szCs w:val="28"/>
          <w:lang w:val="id-ID" w:eastAsia="ja-JP"/>
        </w:rPr>
      </w:pPr>
      <w:r w:rsidRPr="00B47DAF">
        <w:rPr>
          <w:rFonts w:ascii="Times New Roman" w:eastAsia="Times New Roman" w:hAnsi="Times New Roman" w:cs="Times New Roman"/>
          <w:b/>
          <w:sz w:val="28"/>
          <w:szCs w:val="28"/>
          <w:lang w:val="id-ID" w:eastAsia="id-ID"/>
        </w:rPr>
        <w:t>Beyond 'intercultural-international': Indonesian students' grounded cosmopolitanism and the expansion of ICC theor</w:t>
      </w:r>
      <w:r>
        <w:rPr>
          <w:rFonts w:ascii="Times New Roman" w:hAnsi="Times New Roman" w:cs="Times New Roman" w:hint="eastAsia"/>
          <w:b/>
          <w:sz w:val="28"/>
          <w:szCs w:val="28"/>
          <w:lang w:val="id-ID" w:eastAsia="ja-JP"/>
        </w:rPr>
        <w:t>y</w:t>
      </w:r>
    </w:p>
    <w:p w14:paraId="4DDFAE5B" w14:textId="4FC2CDAA" w:rsidR="003073A2" w:rsidRPr="00B47DAF" w:rsidRDefault="00007D43" w:rsidP="00B47DAF">
      <w:pPr>
        <w:spacing w:after="0" w:line="240" w:lineRule="auto"/>
        <w:jc w:val="center"/>
        <w:rPr>
          <w:rFonts w:ascii="Times New Roman" w:eastAsia="Times New Roman" w:hAnsi="Times New Roman" w:cs="Times New Roman"/>
        </w:rPr>
      </w:pPr>
      <w:r w:rsidRPr="00B47DAF">
        <w:rPr>
          <w:rFonts w:ascii="Times New Roman" w:hAnsi="Times New Roman" w:cs="Times New Roman"/>
          <w:lang w:eastAsia="ja-JP"/>
        </w:rPr>
        <w:t>Cecilia Smith Fujishima</w:t>
      </w:r>
      <w:r w:rsidR="000E2174" w:rsidRPr="00B47DAF">
        <w:rPr>
          <w:rFonts w:ascii="Times New Roman" w:eastAsia="Times New Roman" w:hAnsi="Times New Roman" w:cs="Times New Roman"/>
        </w:rPr>
        <w:t xml:space="preserve"> </w:t>
      </w:r>
      <w:r w:rsidR="000E2174" w:rsidRPr="00B47DAF">
        <w:rPr>
          <w:rFonts w:ascii="Times New Roman" w:eastAsia="Times New Roman" w:hAnsi="Times New Roman" w:cs="Times New Roman"/>
          <w:vertAlign w:val="superscript"/>
        </w:rPr>
        <w:t>1</w:t>
      </w:r>
      <w:r w:rsidR="000E2174" w:rsidRPr="00B47DAF">
        <w:rPr>
          <w:rFonts w:ascii="Times New Roman" w:eastAsia="Times New Roman" w:hAnsi="Times New Roman" w:cs="Times New Roman"/>
        </w:rPr>
        <w:t xml:space="preserve"> </w:t>
      </w:r>
    </w:p>
    <w:p w14:paraId="3D2C88AD" w14:textId="0783B77E" w:rsidR="00B47DAF" w:rsidRDefault="00B47DAF" w:rsidP="00B47DAF">
      <w:pPr>
        <w:spacing w:after="0" w:line="240" w:lineRule="auto"/>
        <w:jc w:val="center"/>
        <w:rPr>
          <w:rFonts w:ascii="Times New Roman" w:hAnsi="Times New Roman" w:cs="Times New Roman"/>
          <w:bCs/>
          <w:vertAlign w:val="superscript"/>
          <w:lang w:val="id-ID" w:eastAsia="ja-JP"/>
        </w:rPr>
      </w:pPr>
      <w:r w:rsidRPr="00B47DAF">
        <w:rPr>
          <w:rFonts w:ascii="Times New Roman" w:eastAsia="Times New Roman" w:hAnsi="Times New Roman" w:cs="Times New Roman"/>
          <w:bCs/>
          <w:lang w:val="id-ID" w:eastAsia="id-ID"/>
        </w:rPr>
        <w:t>Sayit Abdul Karim</w:t>
      </w:r>
      <w:r w:rsidR="000E2174" w:rsidRPr="00B47DAF">
        <w:rPr>
          <w:rFonts w:ascii="Times New Roman" w:eastAsia="Times New Roman" w:hAnsi="Times New Roman" w:cs="Times New Roman"/>
          <w:vertAlign w:val="superscript"/>
        </w:rPr>
        <w:t>2</w:t>
      </w:r>
      <w:r w:rsidRPr="00B47DAF">
        <w:rPr>
          <w:rFonts w:ascii="Times New Roman" w:hAnsi="Times New Roman" w:cs="Times New Roman"/>
          <w:vertAlign w:val="superscript"/>
          <w:lang w:eastAsia="ja-JP"/>
        </w:rPr>
        <w:br/>
      </w:r>
      <w:r w:rsidRPr="00B47DAF">
        <w:rPr>
          <w:rFonts w:ascii="Times New Roman" w:eastAsia="Times New Roman" w:hAnsi="Times New Roman" w:cs="Times New Roman"/>
          <w:bCs/>
          <w:lang w:val="id-ID" w:eastAsia="id-ID"/>
        </w:rPr>
        <w:t>R.Y. Radjaban</w:t>
      </w:r>
      <w:r w:rsidRPr="00B47DAF">
        <w:rPr>
          <w:rFonts w:ascii="Times New Roman" w:eastAsia="Times New Roman" w:hAnsi="Times New Roman" w:cs="Times New Roman"/>
          <w:bCs/>
          <w:vertAlign w:val="superscript"/>
          <w:lang w:val="id-ID" w:eastAsia="id-ID"/>
        </w:rPr>
        <w:t>3</w:t>
      </w:r>
    </w:p>
    <w:p w14:paraId="1811632B" w14:textId="4F27992F" w:rsidR="00B47DAF" w:rsidRPr="00B47DAF" w:rsidRDefault="00B47DAF" w:rsidP="00B47DAF">
      <w:pPr>
        <w:spacing w:after="0" w:line="240" w:lineRule="auto"/>
        <w:jc w:val="center"/>
        <w:rPr>
          <w:rFonts w:ascii="Times New Roman" w:hAnsi="Times New Roman" w:cs="Times New Roman"/>
          <w:bCs/>
          <w:vertAlign w:val="superscript"/>
          <w:lang w:val="id-ID" w:eastAsia="ja-JP"/>
        </w:rPr>
      </w:pPr>
      <w:r w:rsidRPr="00B47DAF">
        <w:rPr>
          <w:rFonts w:ascii="Times New Roman" w:eastAsia="Times New Roman" w:hAnsi="Times New Roman" w:cs="Times New Roman"/>
          <w:bCs/>
          <w:lang w:val="id-ID" w:eastAsia="id-ID"/>
        </w:rPr>
        <w:t>Lucitania Rizky</w:t>
      </w:r>
      <w:r w:rsidRPr="00B47DAF">
        <w:rPr>
          <w:rFonts w:ascii="Times New Roman" w:eastAsia="Times New Roman" w:hAnsi="Times New Roman" w:cs="Times New Roman"/>
          <w:bCs/>
          <w:vertAlign w:val="superscript"/>
          <w:lang w:val="id-ID" w:eastAsia="id-ID"/>
        </w:rPr>
        <w:t xml:space="preserve">4 </w:t>
      </w:r>
      <w:r>
        <w:rPr>
          <w:rFonts w:ascii="Times New Roman" w:hAnsi="Times New Roman" w:cs="Times New Roman"/>
          <w:bCs/>
          <w:vertAlign w:val="superscript"/>
          <w:lang w:val="id-ID" w:eastAsia="ja-JP"/>
        </w:rPr>
        <w:br/>
      </w:r>
      <w:r w:rsidRPr="00B47DAF">
        <w:rPr>
          <w:rFonts w:ascii="Times New Roman" w:eastAsia="Times New Roman" w:hAnsi="Times New Roman" w:cs="Times New Roman"/>
          <w:bCs/>
          <w:lang w:val="id-ID" w:eastAsia="id-ID"/>
        </w:rPr>
        <w:t>Gordan Matas</w:t>
      </w:r>
      <w:r w:rsidRPr="00B47DAF">
        <w:rPr>
          <w:rFonts w:ascii="Times New Roman" w:eastAsia="Times New Roman" w:hAnsi="Times New Roman" w:cs="Times New Roman"/>
          <w:bCs/>
          <w:vertAlign w:val="superscript"/>
          <w:lang w:val="id-ID" w:eastAsia="id-ID"/>
        </w:rPr>
        <w:t>5</w:t>
      </w:r>
    </w:p>
    <w:p w14:paraId="0BBE2155" w14:textId="77777777" w:rsidR="00B47DAF" w:rsidRPr="00B47DAF" w:rsidRDefault="00B47DAF" w:rsidP="00B47DAF">
      <w:pPr>
        <w:spacing w:after="0" w:line="240" w:lineRule="auto"/>
        <w:jc w:val="center"/>
        <w:rPr>
          <w:rFonts w:ascii="Times New Roman" w:hAnsi="Times New Roman" w:cs="Times New Roman"/>
          <w:sz w:val="22"/>
          <w:szCs w:val="22"/>
          <w:lang w:eastAsia="ja-JP"/>
        </w:rPr>
      </w:pPr>
    </w:p>
    <w:p w14:paraId="4DDFAE5D" w14:textId="77777777" w:rsidR="003073A2" w:rsidRPr="00B47DAF" w:rsidRDefault="003073A2" w:rsidP="00B47DAF">
      <w:pPr>
        <w:spacing w:after="0" w:line="240" w:lineRule="auto"/>
        <w:jc w:val="center"/>
        <w:rPr>
          <w:rFonts w:ascii="Times New Roman" w:eastAsia="Times New Roman" w:hAnsi="Times New Roman" w:cs="Times New Roman"/>
          <w:sz w:val="22"/>
          <w:szCs w:val="22"/>
        </w:rPr>
      </w:pPr>
    </w:p>
    <w:p w14:paraId="4DDFAE5F" w14:textId="7C498B91" w:rsidR="003073A2" w:rsidRPr="00B47DAF" w:rsidRDefault="000E2174" w:rsidP="00B47DAF">
      <w:pPr>
        <w:spacing w:after="240" w:line="240" w:lineRule="auto"/>
        <w:ind w:firstLine="720"/>
        <w:jc w:val="center"/>
        <w:rPr>
          <w:rFonts w:ascii="Times New Roman" w:hAnsi="Times New Roman" w:cs="Times New Roman"/>
          <w:bCs/>
          <w:sz w:val="22"/>
          <w:szCs w:val="22"/>
          <w:lang w:val="id-ID" w:eastAsia="ja-JP"/>
        </w:rPr>
      </w:pPr>
      <w:r w:rsidRPr="00B47DAF">
        <w:rPr>
          <w:rFonts w:ascii="Times New Roman" w:eastAsia="Times New Roman" w:hAnsi="Times New Roman" w:cs="Times New Roman"/>
          <w:sz w:val="22"/>
          <w:szCs w:val="22"/>
          <w:vertAlign w:val="superscript"/>
        </w:rPr>
        <w:t xml:space="preserve">1 </w:t>
      </w:r>
      <w:r w:rsidR="00B47DAF" w:rsidRPr="00B47DAF">
        <w:rPr>
          <w:rFonts w:ascii="Times New Roman" w:eastAsia="Times New Roman" w:hAnsi="Times New Roman" w:cs="Times New Roman"/>
          <w:bCs/>
          <w:sz w:val="22"/>
          <w:szCs w:val="22"/>
          <w:lang w:val="id-ID" w:eastAsia="id-ID"/>
        </w:rPr>
        <w:t>Global Center of Language Culture and Education, Shirayuri University, Japan</w:t>
      </w:r>
    </w:p>
    <w:p w14:paraId="4DDFAE61" w14:textId="6F5919F0" w:rsidR="003073A2" w:rsidRPr="00B47DAF" w:rsidRDefault="00007D43" w:rsidP="00B47DAF">
      <w:pPr>
        <w:spacing w:after="240" w:line="240" w:lineRule="auto"/>
        <w:ind w:firstLine="720"/>
        <w:jc w:val="center"/>
        <w:rPr>
          <w:rFonts w:ascii="Times New Roman" w:hAnsi="Times New Roman" w:cs="Times New Roman"/>
          <w:bCs/>
          <w:sz w:val="22"/>
          <w:szCs w:val="22"/>
          <w:lang w:val="id-ID" w:eastAsia="ja-JP"/>
        </w:rPr>
      </w:pPr>
      <w:r w:rsidRPr="00B47DAF">
        <w:rPr>
          <w:rFonts w:ascii="Times New Roman" w:hAnsi="Times New Roman" w:cs="Times New Roman"/>
          <w:bCs/>
          <w:sz w:val="22"/>
          <w:szCs w:val="22"/>
          <w:vertAlign w:val="superscript"/>
          <w:lang w:eastAsia="ja-JP"/>
        </w:rPr>
        <w:t>2,</w:t>
      </w:r>
      <w:r w:rsidRPr="00B47DAF">
        <w:rPr>
          <w:rFonts w:ascii="Times New Roman" w:eastAsia="Times New Roman" w:hAnsi="Times New Roman" w:cs="Times New Roman"/>
          <w:bCs/>
          <w:sz w:val="22"/>
          <w:szCs w:val="22"/>
          <w:vertAlign w:val="superscript"/>
          <w:lang w:val="id-ID" w:eastAsia="id-ID"/>
        </w:rPr>
        <w:t>3,4</w:t>
      </w:r>
      <w:r w:rsidRPr="00B47DAF">
        <w:rPr>
          <w:rFonts w:ascii="Times New Roman" w:eastAsia="Times New Roman" w:hAnsi="Times New Roman" w:cs="Times New Roman"/>
          <w:bCs/>
          <w:sz w:val="22"/>
          <w:szCs w:val="22"/>
          <w:lang w:val="id-ID" w:eastAsia="id-ID"/>
        </w:rPr>
        <w:t>Faculty of Business &amp; Humanities, Universitas Teknologi Yogyakarta, Indonesia</w:t>
      </w:r>
    </w:p>
    <w:p w14:paraId="6D9DAFD3" w14:textId="77777777" w:rsidR="00007D43" w:rsidRPr="00B47DAF" w:rsidRDefault="00007D43" w:rsidP="00B47DAF">
      <w:pPr>
        <w:spacing w:after="240" w:line="240" w:lineRule="auto"/>
        <w:ind w:firstLine="720"/>
        <w:jc w:val="center"/>
        <w:rPr>
          <w:rFonts w:ascii="Times New Roman" w:eastAsia="Times New Roman" w:hAnsi="Times New Roman" w:cs="Times New Roman"/>
          <w:bCs/>
          <w:sz w:val="22"/>
          <w:szCs w:val="22"/>
          <w:lang w:val="id-ID" w:eastAsia="id-ID"/>
        </w:rPr>
      </w:pPr>
      <w:r w:rsidRPr="00B47DAF">
        <w:rPr>
          <w:rFonts w:ascii="Times New Roman" w:hAnsi="Times New Roman" w:cs="Times New Roman"/>
          <w:sz w:val="22"/>
          <w:szCs w:val="22"/>
          <w:vertAlign w:val="superscript"/>
          <w:lang w:eastAsia="ja-JP"/>
        </w:rPr>
        <w:t>5</w:t>
      </w:r>
      <w:r w:rsidRPr="00B47DAF">
        <w:rPr>
          <w:rFonts w:ascii="Times New Roman" w:eastAsia="Times New Roman" w:hAnsi="Times New Roman" w:cs="Times New Roman"/>
          <w:sz w:val="22"/>
          <w:szCs w:val="22"/>
        </w:rPr>
        <w:t xml:space="preserve"> </w:t>
      </w:r>
      <w:r w:rsidRPr="00B47DAF">
        <w:rPr>
          <w:rFonts w:ascii="Times New Roman" w:eastAsia="Times New Roman" w:hAnsi="Times New Roman" w:cs="Times New Roman"/>
          <w:bCs/>
          <w:sz w:val="22"/>
          <w:szCs w:val="22"/>
          <w:lang w:val="id-ID" w:eastAsia="id-ID"/>
        </w:rPr>
        <w:t>Faculties of Humanities and Social Sciences, University of Split, Croatia.</w:t>
      </w:r>
    </w:p>
    <w:p w14:paraId="7B1ED228" w14:textId="7D638E5A" w:rsidR="00007D43" w:rsidRPr="00B47DAF" w:rsidRDefault="00007D43" w:rsidP="00B47DAF">
      <w:pPr>
        <w:spacing w:after="240" w:line="240" w:lineRule="auto"/>
        <w:rPr>
          <w:rFonts w:cs="Times New Roman" w:hint="eastAsia"/>
          <w:bCs/>
          <w:lang w:val="id-ID" w:eastAsia="ja-JP"/>
        </w:rPr>
      </w:pPr>
    </w:p>
    <w:p w14:paraId="4DDFAE62" w14:textId="77777777" w:rsidR="003073A2" w:rsidRPr="00B47DAF" w:rsidRDefault="003073A2" w:rsidP="00B47DAF">
      <w:pPr>
        <w:spacing w:after="0" w:line="240" w:lineRule="auto"/>
        <w:rPr>
          <w:rFonts w:ascii="Times New Roman" w:hAnsi="Times New Roman" w:cs="Times New Roman" w:hint="eastAsia"/>
          <w:lang w:eastAsia="ja-JP"/>
        </w:rPr>
      </w:pPr>
    </w:p>
    <w:p w14:paraId="4DDFAE63" w14:textId="77777777" w:rsidR="003073A2" w:rsidRPr="00007D43" w:rsidRDefault="000E2174">
      <w:pPr>
        <w:spacing w:after="0" w:line="240" w:lineRule="auto"/>
        <w:jc w:val="center"/>
        <w:rPr>
          <w:rFonts w:ascii="Times New Roman" w:eastAsia="Times New Roman" w:hAnsi="Times New Roman" w:cs="Times New Roman"/>
          <w:b/>
        </w:rPr>
      </w:pPr>
      <w:r w:rsidRPr="00007D43">
        <w:rPr>
          <w:rFonts w:ascii="Times New Roman" w:eastAsia="Times New Roman" w:hAnsi="Times New Roman" w:cs="Times New Roman"/>
          <w:b/>
        </w:rPr>
        <w:t>Abstract</w:t>
      </w:r>
    </w:p>
    <w:p w14:paraId="38B7D780" w14:textId="3B13C86C" w:rsidR="00007D43" w:rsidRPr="00007D43" w:rsidRDefault="00007D43" w:rsidP="00007D43">
      <w:pPr>
        <w:spacing w:after="0" w:line="240" w:lineRule="auto"/>
        <w:jc w:val="both"/>
        <w:rPr>
          <w:rFonts w:ascii="Times New Roman" w:eastAsia="Times New Roman" w:hAnsi="Times New Roman" w:cs="Times New Roman"/>
        </w:rPr>
      </w:pPr>
      <w:r w:rsidRPr="00007D43">
        <w:rPr>
          <w:rFonts w:ascii="Times New Roman" w:eastAsia="Times New Roman" w:hAnsi="Times New Roman" w:cs="Times New Roman"/>
        </w:rPr>
        <w:t xml:space="preserve">Intercultural communicative competence (ICC) models have primarily developed in contexts where international mobility serves as the dominant pathway for intercultural learning. This presentation reports on a study of 120 students in Yogyakarta about their attitudes toward ICC development. Students revealed a distinctive pattern: they perceive domestic engagement across ethnic, linguistic, and religious differences as legitimate intercultural learning alongside international experience. They express humanistic rather than instrumental goals </w:t>
      </w:r>
      <w:r w:rsidR="00B47DAF">
        <w:rPr>
          <w:rFonts w:ascii="Times New Roman" w:hAnsi="Times New Roman" w:cs="Times New Roman" w:hint="eastAsia"/>
          <w:lang w:eastAsia="ja-JP"/>
        </w:rPr>
        <w:t xml:space="preserve">for ICC </w:t>
      </w:r>
      <w:r w:rsidRPr="00007D43">
        <w:rPr>
          <w:rFonts w:ascii="Times New Roman" w:eastAsia="Times New Roman" w:hAnsi="Times New Roman" w:cs="Times New Roman"/>
        </w:rPr>
        <w:t xml:space="preserve">and demonstrate a </w:t>
      </w:r>
      <w:r w:rsidR="00B47DAF">
        <w:rPr>
          <w:rFonts w:ascii="Times New Roman" w:hAnsi="Times New Roman" w:cs="Times New Roman"/>
          <w:lang w:eastAsia="ja-JP"/>
        </w:rPr>
        <w:t>‘</w:t>
      </w:r>
      <w:r w:rsidRPr="00007D43">
        <w:rPr>
          <w:rFonts w:ascii="Times New Roman" w:eastAsia="Times New Roman" w:hAnsi="Times New Roman" w:cs="Times New Roman"/>
        </w:rPr>
        <w:t>satisfaction paradox</w:t>
      </w:r>
      <w:r w:rsidR="00B47DAF">
        <w:rPr>
          <w:rFonts w:ascii="Times New Roman" w:hAnsi="Times New Roman" w:cs="Times New Roman"/>
          <w:lang w:eastAsia="ja-JP"/>
        </w:rPr>
        <w:t>’</w:t>
      </w:r>
      <w:r w:rsidRPr="00007D43">
        <w:rPr>
          <w:rFonts w:ascii="Times New Roman" w:eastAsia="Times New Roman" w:hAnsi="Times New Roman" w:cs="Times New Roman"/>
        </w:rPr>
        <w:t>: high satisfaction yet universal desire for more</w:t>
      </w:r>
      <w:r w:rsidR="00B47DAF">
        <w:rPr>
          <w:rFonts w:ascii="Times New Roman" w:hAnsi="Times New Roman" w:cs="Times New Roman" w:hint="eastAsia"/>
          <w:lang w:eastAsia="ja-JP"/>
        </w:rPr>
        <w:t xml:space="preserve"> opportunities,</w:t>
      </w:r>
      <w:r w:rsidRPr="00007D43">
        <w:rPr>
          <w:rFonts w:ascii="Times New Roman" w:eastAsia="Times New Roman" w:hAnsi="Times New Roman" w:cs="Times New Roman"/>
        </w:rPr>
        <w:t xml:space="preserve"> reflecting an understanding of ICC as an ongoing civic responsibility rather than a finite skill set.</w:t>
      </w:r>
    </w:p>
    <w:p w14:paraId="4DDFAE65" w14:textId="24DD7543" w:rsidR="003073A2" w:rsidRPr="00007D43" w:rsidRDefault="00007D43" w:rsidP="00007D43">
      <w:pPr>
        <w:spacing w:after="0" w:line="240" w:lineRule="auto"/>
        <w:jc w:val="both"/>
        <w:rPr>
          <w:rFonts w:ascii="Times New Roman" w:eastAsia="Times New Roman" w:hAnsi="Times New Roman" w:cs="Times New Roman"/>
        </w:rPr>
      </w:pPr>
      <w:r w:rsidRPr="00007D43">
        <w:rPr>
          <w:rFonts w:ascii="Times New Roman" w:eastAsia="Times New Roman" w:hAnsi="Times New Roman" w:cs="Times New Roman"/>
        </w:rPr>
        <w:t xml:space="preserve">These findings suggest students' civic environment fundamentally shapes their intercultural attitudes. We propose </w:t>
      </w:r>
      <w:r w:rsidR="00B47DAF">
        <w:rPr>
          <w:rFonts w:ascii="Times New Roman" w:hAnsi="Times New Roman" w:cs="Times New Roman"/>
          <w:lang w:eastAsia="ja-JP"/>
        </w:rPr>
        <w:t>‘</w:t>
      </w:r>
      <w:r w:rsidRPr="00007D43">
        <w:rPr>
          <w:rFonts w:ascii="Times New Roman" w:eastAsia="Times New Roman" w:hAnsi="Times New Roman" w:cs="Times New Roman"/>
        </w:rPr>
        <w:t>grounded cosmopolitanism</w:t>
      </w:r>
      <w:r w:rsidR="00B47DAF">
        <w:rPr>
          <w:rFonts w:ascii="Times New Roman" w:hAnsi="Times New Roman" w:cs="Times New Roman"/>
          <w:lang w:eastAsia="ja-JP"/>
        </w:rPr>
        <w:t>’</w:t>
      </w:r>
      <w:r w:rsidRPr="00007D43">
        <w:rPr>
          <w:rFonts w:ascii="Times New Roman" w:eastAsia="Times New Roman" w:hAnsi="Times New Roman" w:cs="Times New Roman"/>
        </w:rPr>
        <w:t xml:space="preserve"> to explain this pattern: in constitutionally pluralistic societies like Indonesia with its </w:t>
      </w:r>
      <w:proofErr w:type="spellStart"/>
      <w:r w:rsidRPr="00007D43">
        <w:rPr>
          <w:rFonts w:ascii="Times New Roman" w:eastAsia="Times New Roman" w:hAnsi="Times New Roman" w:cs="Times New Roman"/>
        </w:rPr>
        <w:t>Bhinneka</w:t>
      </w:r>
      <w:proofErr w:type="spellEnd"/>
      <w:r w:rsidRPr="00007D43">
        <w:rPr>
          <w:rFonts w:ascii="Times New Roman" w:eastAsia="Times New Roman" w:hAnsi="Times New Roman" w:cs="Times New Roman"/>
        </w:rPr>
        <w:t xml:space="preserve"> Tunggal Ika (Unity in Diversity), global citizenship can emerge from civic engagement with domestic diversity rather than </w:t>
      </w:r>
      <w:r w:rsidR="00B47DAF">
        <w:rPr>
          <w:rFonts w:ascii="Times New Roman" w:hAnsi="Times New Roman" w:cs="Times New Roman" w:hint="eastAsia"/>
          <w:lang w:eastAsia="ja-JP"/>
        </w:rPr>
        <w:t xml:space="preserve">through </w:t>
      </w:r>
      <w:r w:rsidRPr="00007D43">
        <w:rPr>
          <w:rFonts w:ascii="Times New Roman" w:eastAsia="Times New Roman" w:hAnsi="Times New Roman" w:cs="Times New Roman"/>
        </w:rPr>
        <w:t>international mobility. This has equity implications as ICC development becomes pedagogically accessible rather than resource-dependent. We invite collaborative research to explore this framework comparatively. How do different civic and constitutional contexts shape intercultural attitudes? This comparative approach would build ICC theory to take better account of diverse social realities.</w:t>
      </w:r>
    </w:p>
    <w:p w14:paraId="4DDFAE68" w14:textId="1919CA2F" w:rsidR="003073A2" w:rsidRPr="00007D43" w:rsidRDefault="000E2174" w:rsidP="00007D43">
      <w:pPr>
        <w:spacing w:after="0" w:line="240" w:lineRule="auto"/>
        <w:jc w:val="both"/>
        <w:rPr>
          <w:rFonts w:ascii="Times New Roman" w:eastAsia="Times New Roman" w:hAnsi="Times New Roman" w:cs="Times New Roman"/>
        </w:rPr>
      </w:pPr>
      <w:r w:rsidRPr="00007D43">
        <w:rPr>
          <w:rFonts w:ascii="Times New Roman" w:eastAsia="Times New Roman" w:hAnsi="Times New Roman" w:cs="Times New Roman"/>
          <w:b/>
          <w:i/>
        </w:rPr>
        <w:t>Keywords</w:t>
      </w:r>
      <w:r w:rsidRPr="00007D43">
        <w:rPr>
          <w:rFonts w:ascii="Times New Roman" w:eastAsia="Times New Roman" w:hAnsi="Times New Roman" w:cs="Times New Roman"/>
        </w:rPr>
        <w:t>:</w:t>
      </w:r>
      <w:r w:rsidR="00007D43" w:rsidRPr="00007D43">
        <w:rPr>
          <w:rFonts w:ascii="Times New Roman" w:hAnsi="Times New Roman" w:cs="Times New Roman"/>
          <w:lang w:eastAsia="ja-JP"/>
        </w:rPr>
        <w:t xml:space="preserve"> </w:t>
      </w:r>
      <w:r w:rsidR="00007D43" w:rsidRPr="00007D43">
        <w:rPr>
          <w:rFonts w:ascii="Times New Roman" w:eastAsia="Times New Roman" w:hAnsi="Times New Roman" w:cs="Times New Roman"/>
        </w:rPr>
        <w:t>Domestic diversity, Indonesian higher education</w:t>
      </w:r>
      <w:r w:rsidR="00007D43" w:rsidRPr="00007D43">
        <w:rPr>
          <w:rFonts w:ascii="Times New Roman" w:eastAsia="Times New Roman" w:hAnsi="Times New Roman" w:cs="Times New Roman"/>
          <w:lang w:val="id-ID"/>
        </w:rPr>
        <w:t xml:space="preserve">, </w:t>
      </w:r>
      <w:r w:rsidR="00007D43" w:rsidRPr="00007D43">
        <w:rPr>
          <w:rFonts w:ascii="Times New Roman" w:eastAsia="Times New Roman" w:hAnsi="Times New Roman" w:cs="Times New Roman"/>
        </w:rPr>
        <w:t xml:space="preserve">Intercultural competence, </w:t>
      </w:r>
      <w:bookmarkStart w:id="0" w:name="_a5pewvknm4su" w:colFirst="0" w:colLast="0"/>
      <w:bookmarkEnd w:id="0"/>
      <w:r w:rsidR="00007D43" w:rsidRPr="00007D43">
        <w:rPr>
          <w:rFonts w:ascii="Times New Roman" w:eastAsia="Times New Roman" w:hAnsi="Times New Roman" w:cs="Times New Roman"/>
        </w:rPr>
        <w:t>Pancasila, Pluralism, Student voice</w:t>
      </w:r>
    </w:p>
    <w:sectPr w:rsidR="003073A2" w:rsidRPr="00007D43">
      <w:pgSz w:w="12240" w:h="15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A9F63907-5FCA-4F3D-93BF-A68EFBA810A4}"/>
    <w:embedItalic r:id="rId2" w:fontKey="{F9C47ADB-8F04-4F0D-BB0C-81DCB065A663}"/>
  </w:font>
  <w:font w:name="Yu Gothic">
    <w:altName w:val="游ゴシック"/>
    <w:panose1 w:val="020B04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embedRegular r:id="rId3" w:fontKey="{CB6EA220-7F9D-4458-B22F-FFF66E03FD83}"/>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embedTrueTypeFont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3A2"/>
    <w:rsid w:val="00007D43"/>
    <w:rsid w:val="001E4956"/>
    <w:rsid w:val="003073A2"/>
    <w:rsid w:val="00347611"/>
    <w:rsid w:val="009C5BFC"/>
    <w:rsid w:val="00B47DA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FAE59"/>
  <w15:docId w15:val="{9D3AFB2C-8E6D-4E4E-9FB3-8CDCDF0F3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ID" w:eastAsia="en-GB"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77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77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77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77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77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77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77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B77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B77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77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77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77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77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7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7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7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774E"/>
    <w:rPr>
      <w:rFonts w:eastAsiaTheme="majorEastAsia" w:cstheme="majorBidi"/>
      <w:color w:val="272727" w:themeColor="text1" w:themeTint="D8"/>
    </w:rPr>
  </w:style>
  <w:style w:type="character" w:customStyle="1" w:styleId="TitleChar">
    <w:name w:val="Title Char"/>
    <w:basedOn w:val="DefaultParagraphFont"/>
    <w:link w:val="Title"/>
    <w:uiPriority w:val="10"/>
    <w:rsid w:val="000B7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Pr>
      <w:color w:val="595959"/>
      <w:sz w:val="28"/>
      <w:szCs w:val="28"/>
    </w:rPr>
  </w:style>
  <w:style w:type="character" w:customStyle="1" w:styleId="SubtitleChar">
    <w:name w:val="Subtitle Char"/>
    <w:basedOn w:val="DefaultParagraphFont"/>
    <w:link w:val="Subtitle"/>
    <w:uiPriority w:val="11"/>
    <w:rsid w:val="000B7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774E"/>
    <w:pPr>
      <w:spacing w:before="160"/>
      <w:jc w:val="center"/>
    </w:pPr>
    <w:rPr>
      <w:i/>
      <w:iCs/>
      <w:color w:val="404040" w:themeColor="text1" w:themeTint="BF"/>
    </w:rPr>
  </w:style>
  <w:style w:type="character" w:customStyle="1" w:styleId="QuoteChar">
    <w:name w:val="Quote Char"/>
    <w:basedOn w:val="DefaultParagraphFont"/>
    <w:link w:val="Quote"/>
    <w:uiPriority w:val="29"/>
    <w:rsid w:val="000B774E"/>
    <w:rPr>
      <w:i/>
      <w:iCs/>
      <w:color w:val="404040" w:themeColor="text1" w:themeTint="BF"/>
    </w:rPr>
  </w:style>
  <w:style w:type="paragraph" w:styleId="ListParagraph">
    <w:name w:val="List Paragraph"/>
    <w:basedOn w:val="Normal"/>
    <w:uiPriority w:val="34"/>
    <w:qFormat/>
    <w:rsid w:val="000B774E"/>
    <w:pPr>
      <w:ind w:left="720"/>
      <w:contextualSpacing/>
    </w:pPr>
  </w:style>
  <w:style w:type="character" w:styleId="IntenseEmphasis">
    <w:name w:val="Intense Emphasis"/>
    <w:basedOn w:val="DefaultParagraphFont"/>
    <w:uiPriority w:val="21"/>
    <w:qFormat/>
    <w:rsid w:val="000B774E"/>
    <w:rPr>
      <w:i/>
      <w:iCs/>
      <w:color w:val="0F4761" w:themeColor="accent1" w:themeShade="BF"/>
    </w:rPr>
  </w:style>
  <w:style w:type="paragraph" w:styleId="IntenseQuote">
    <w:name w:val="Intense Quote"/>
    <w:basedOn w:val="Normal"/>
    <w:next w:val="Normal"/>
    <w:link w:val="IntenseQuoteChar"/>
    <w:uiPriority w:val="30"/>
    <w:qFormat/>
    <w:rsid w:val="000B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774E"/>
    <w:rPr>
      <w:i/>
      <w:iCs/>
      <w:color w:val="0F4761" w:themeColor="accent1" w:themeShade="BF"/>
    </w:rPr>
  </w:style>
  <w:style w:type="character" w:styleId="IntenseReference">
    <w:name w:val="Intense Reference"/>
    <w:basedOn w:val="DefaultParagraphFont"/>
    <w:uiPriority w:val="32"/>
    <w:qFormat/>
    <w:rsid w:val="000B774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MBv9CFL/xRPO3uKzbkiPj2Z/xA==">CgMxLjA4AHIhMUdta2loR1ZlVzFxakRsd3AteHpkYXV6Mi1SclBNanJN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danyardhian@ub.ac.id</dc:creator>
  <cp:lastModifiedBy>Cecilia Smith</cp:lastModifiedBy>
  <cp:revision>2</cp:revision>
  <dcterms:created xsi:type="dcterms:W3CDTF">2026-04-04T10:40:00Z</dcterms:created>
  <dcterms:modified xsi:type="dcterms:W3CDTF">2026-04-04T10:40:00Z</dcterms:modified>
</cp:coreProperties>
</file>